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66EDC" w14:textId="2AAD07B4" w:rsidR="00BC4D26" w:rsidRPr="009463BF" w:rsidRDefault="00756FB0" w:rsidP="000A3202">
      <w:pPr>
        <w:pStyle w:val="Titre"/>
        <w:jc w:val="left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077">
        <w:rPr>
          <w:noProof/>
          <w:lang w:val="it-IT" w:eastAsia="fr-FR"/>
        </w:rPr>
        <w:t>THERA</w:t>
      </w:r>
    </w:p>
    <w:p w14:paraId="0427D687" w14:textId="72C3A927" w:rsidR="00BC4D26" w:rsidRPr="009463BF" w:rsidRDefault="00C669AF" w:rsidP="00BC4D26">
      <w:pPr>
        <w:pStyle w:val="Sous-titre"/>
        <w:rPr>
          <w:lang w:val="it-IT"/>
        </w:rPr>
      </w:pPr>
      <w:bookmarkStart w:id="0" w:name="_Hlk493070819"/>
      <w:r w:rsidRPr="00C669AF">
        <w:rPr>
          <w:lang w:val="it-IT"/>
        </w:rPr>
        <w:t xml:space="preserve">Pavimenti e rivestimenti in </w:t>
      </w:r>
      <w:r w:rsidR="00352077">
        <w:rPr>
          <w:lang w:val="it-IT"/>
        </w:rPr>
        <w:t>cemento</w:t>
      </w:r>
      <w:r w:rsidRPr="00C669AF">
        <w:rPr>
          <w:lang w:val="it-IT"/>
        </w:rPr>
        <w:t xml:space="preserve"> per interni ed </w:t>
      </w:r>
      <w:r>
        <w:rPr>
          <w:lang w:val="it-IT"/>
        </w:rPr>
        <w:t>esterni</w:t>
      </w:r>
    </w:p>
    <w:p w14:paraId="54808FF7" w14:textId="14CA4CE8" w:rsidR="006919FA" w:rsidRPr="009463BF" w:rsidRDefault="00C669AF" w:rsidP="00EA0BE8">
      <w:pPr>
        <w:pStyle w:val="Abstract"/>
        <w:rPr>
          <w:lang w:val="it-IT"/>
        </w:rPr>
      </w:pPr>
      <w:bookmarkStart w:id="1" w:name="OLE_LINK11"/>
      <w:bookmarkEnd w:id="0"/>
      <w:r w:rsidRPr="00C669AF">
        <w:rPr>
          <w:lang w:val="it-IT"/>
        </w:rPr>
        <w:t xml:space="preserve">Novoceram, azienda francese produttrice di ceramiche dal 1863, presenta una collezione di piastrelle in gres porcellanato colorato per interni ed esterni </w:t>
      </w:r>
      <w:r w:rsidR="00352077" w:rsidRPr="00352077">
        <w:rPr>
          <w:lang w:val="it-IT"/>
        </w:rPr>
        <w:t>che mette in risalto la pietra calcarea</w:t>
      </w:r>
      <w:r w:rsidR="00352077">
        <w:rPr>
          <w:lang w:val="it-IT"/>
        </w:rPr>
        <w:t>.</w:t>
      </w:r>
    </w:p>
    <w:bookmarkEnd w:id="1"/>
    <w:p w14:paraId="2EF28486" w14:textId="00A0D651" w:rsidR="00EA0BE8" w:rsidRPr="009463BF" w:rsidRDefault="009463BF" w:rsidP="00EA0BE8">
      <w:pPr>
        <w:pStyle w:val="Titre3"/>
        <w:rPr>
          <w:lang w:val="it-IT"/>
        </w:rPr>
      </w:pPr>
      <w:r w:rsidRPr="009463BF">
        <w:rPr>
          <w:lang w:val="it-IT"/>
        </w:rPr>
        <w:t>COMUNICATO STAMPA</w:t>
      </w:r>
    </w:p>
    <w:p w14:paraId="1C30E1FF" w14:textId="6831DBE6" w:rsidR="00FD7B3A" w:rsidRPr="00FD7B3A" w:rsidRDefault="00352077" w:rsidP="00FD7B3A">
      <w:pPr>
        <w:spacing w:before="240"/>
        <w:rPr>
          <w:bCs/>
          <w:lang w:val="it-IT"/>
        </w:rPr>
      </w:pPr>
      <w:r>
        <w:rPr>
          <w:b/>
          <w:lang w:val="it-IT"/>
        </w:rPr>
        <w:t>Théra</w:t>
      </w:r>
      <w:r w:rsidR="00FD7B3A" w:rsidRPr="00FD7B3A">
        <w:rPr>
          <w:bCs/>
          <w:lang w:val="it-IT"/>
        </w:rPr>
        <w:t xml:space="preserve"> è una collezione di piastrelle in gres porcellanato di </w:t>
      </w:r>
      <w:r w:rsidR="00000000">
        <w:fldChar w:fldCharType="begin"/>
      </w:r>
      <w:r w:rsidR="00000000">
        <w:instrText>HYPERLINK "https://www.novoceram.it/"</w:instrText>
      </w:r>
      <w:r w:rsidR="00000000">
        <w:fldChar w:fldCharType="separate"/>
      </w:r>
      <w:r w:rsidR="00FD7B3A" w:rsidRPr="00FD7B3A">
        <w:rPr>
          <w:rStyle w:val="Lienhypertexte"/>
          <w:b/>
          <w:lang w:val="it-IT"/>
        </w:rPr>
        <w:t>Novoceram</w:t>
      </w:r>
      <w:r w:rsidR="00000000">
        <w:rPr>
          <w:rStyle w:val="Lienhypertexte"/>
          <w:b/>
          <w:lang w:val="it-IT"/>
        </w:rPr>
        <w:fldChar w:fldCharType="end"/>
      </w:r>
      <w:r>
        <w:rPr>
          <w:bCs/>
          <w:lang w:val="it-IT"/>
        </w:rPr>
        <w:t xml:space="preserve"> </w:t>
      </w:r>
      <w:r w:rsidRPr="00352077">
        <w:rPr>
          <w:bCs/>
          <w:lang w:val="it-IT"/>
        </w:rPr>
        <w:t>che si ispira al sottile equilibrio tra la forza bruta del cemento e la morbidezza senza tempo della pietra calcarea. Dietro la sua apparente semplicità, rivela una ricchezza di dettagli: una texture fine, compatta e omogenea, punteggiata da sfumature minerali che evocano le superfici modellate dal tempo.</w:t>
      </w:r>
    </w:p>
    <w:p w14:paraId="1DAC441F" w14:textId="77777777" w:rsidR="00352077" w:rsidRDefault="00352077" w:rsidP="00FD7B3A">
      <w:pPr>
        <w:spacing w:before="240"/>
        <w:rPr>
          <w:bCs/>
          <w:lang w:val="it-IT"/>
        </w:rPr>
      </w:pPr>
      <w:r w:rsidRPr="00352077">
        <w:rPr>
          <w:bCs/>
          <w:lang w:val="it-IT"/>
        </w:rPr>
        <w:t xml:space="preserve">Novoceram ha immaginato </w:t>
      </w:r>
      <w:r w:rsidRPr="00352077">
        <w:rPr>
          <w:b/>
          <w:lang w:val="it-IT"/>
        </w:rPr>
        <w:t>Théra</w:t>
      </w:r>
      <w:r w:rsidRPr="00352077">
        <w:rPr>
          <w:bCs/>
          <w:lang w:val="it-IT"/>
        </w:rPr>
        <w:t xml:space="preserve"> come un materiale di transizione, al confine tra natura e architettura. La sua delicata estetica traduce la serenità dei paesaggi rocciosi, apportando al contempo la raffinata modernità del cemento. Questa doppia identità le conferisce una rara versatilità: si adatta infatti sia agli spazi minimalisti che agli ambienti più accoglienti.</w:t>
      </w:r>
    </w:p>
    <w:p w14:paraId="517BBCD6" w14:textId="7B6C7009" w:rsidR="00352077" w:rsidRPr="00352077" w:rsidRDefault="00352077" w:rsidP="00352077">
      <w:pPr>
        <w:spacing w:before="240"/>
        <w:rPr>
          <w:bCs/>
        </w:rPr>
      </w:pPr>
      <w:r w:rsidRPr="00352077">
        <w:rPr>
          <w:bCs/>
        </w:rPr>
        <w:t xml:space="preserve">La gamma </w:t>
      </w:r>
      <w:proofErr w:type="spellStart"/>
      <w:r w:rsidRPr="00352077">
        <w:rPr>
          <w:bCs/>
        </w:rPr>
        <w:t>cromatica</w:t>
      </w:r>
      <w:proofErr w:type="spellEnd"/>
      <w:r w:rsidRPr="00352077">
        <w:rPr>
          <w:bCs/>
        </w:rPr>
        <w:t xml:space="preserve"> di </w:t>
      </w:r>
      <w:hyperlink r:id="rId9" w:history="1">
        <w:proofErr w:type="spellStart"/>
        <w:r w:rsidRPr="00352077">
          <w:rPr>
            <w:rStyle w:val="Lienhypertexte"/>
            <w:b/>
            <w:bCs/>
            <w:lang w:val="fr-FR"/>
          </w:rPr>
          <w:t>Théra</w:t>
        </w:r>
        <w:proofErr w:type="spellEnd"/>
      </w:hyperlink>
      <w:r w:rsidRPr="00352077">
        <w:rPr>
          <w:bCs/>
        </w:rPr>
        <w:t xml:space="preserve"> è composta da 4 </w:t>
      </w:r>
      <w:proofErr w:type="spellStart"/>
      <w:proofErr w:type="gramStart"/>
      <w:r w:rsidRPr="00352077">
        <w:rPr>
          <w:bCs/>
        </w:rPr>
        <w:t>colori</w:t>
      </w:r>
      <w:proofErr w:type="spellEnd"/>
      <w:r w:rsidRPr="00352077">
        <w:rPr>
          <w:bCs/>
        </w:rPr>
        <w:t>:</w:t>
      </w:r>
      <w:proofErr w:type="gramEnd"/>
      <w:r w:rsidRPr="00352077">
        <w:rPr>
          <w:bCs/>
        </w:rPr>
        <w:t xml:space="preserve"> </w:t>
      </w:r>
      <w:r>
        <w:rPr>
          <w:b/>
          <w:bCs/>
        </w:rPr>
        <w:t>Natural</w:t>
      </w:r>
      <w:r w:rsidRPr="00352077">
        <w:rPr>
          <w:bCs/>
        </w:rPr>
        <w:t xml:space="preserve">, </w:t>
      </w:r>
      <w:proofErr w:type="spellStart"/>
      <w:r w:rsidRPr="00352077">
        <w:rPr>
          <w:bCs/>
        </w:rPr>
        <w:t>una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tonalità</w:t>
      </w:r>
      <w:proofErr w:type="spellEnd"/>
      <w:r w:rsidRPr="00352077">
        <w:rPr>
          <w:bCs/>
        </w:rPr>
        <w:t xml:space="preserve"> tortora </w:t>
      </w:r>
      <w:proofErr w:type="spellStart"/>
      <w:r w:rsidRPr="00352077">
        <w:rPr>
          <w:bCs/>
        </w:rPr>
        <w:t>calda</w:t>
      </w:r>
      <w:proofErr w:type="spellEnd"/>
      <w:r w:rsidRPr="00352077">
        <w:rPr>
          <w:bCs/>
        </w:rPr>
        <w:t xml:space="preserve"> e </w:t>
      </w:r>
      <w:proofErr w:type="spellStart"/>
      <w:r w:rsidRPr="00352077">
        <w:rPr>
          <w:bCs/>
        </w:rPr>
        <w:t>contemporanea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fedele</w:t>
      </w:r>
      <w:proofErr w:type="spellEnd"/>
      <w:r w:rsidRPr="00352077">
        <w:rPr>
          <w:bCs/>
        </w:rPr>
        <w:t xml:space="preserve"> alla </w:t>
      </w:r>
      <w:proofErr w:type="spellStart"/>
      <w:r w:rsidRPr="00352077">
        <w:rPr>
          <w:bCs/>
        </w:rPr>
        <w:t>pietra</w:t>
      </w:r>
      <w:proofErr w:type="spellEnd"/>
      <w:r w:rsidRPr="00352077">
        <w:rPr>
          <w:bCs/>
        </w:rPr>
        <w:t xml:space="preserve"> originale; </w:t>
      </w:r>
      <w:r>
        <w:rPr>
          <w:b/>
          <w:bCs/>
        </w:rPr>
        <w:t>Ivoire</w:t>
      </w:r>
      <w:r w:rsidRPr="00352077">
        <w:rPr>
          <w:bCs/>
        </w:rPr>
        <w:t xml:space="preserve">, </w:t>
      </w:r>
      <w:proofErr w:type="spellStart"/>
      <w:r w:rsidRPr="00352077">
        <w:rPr>
          <w:bCs/>
        </w:rPr>
        <w:t>una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sfumatura</w:t>
      </w:r>
      <w:proofErr w:type="spellEnd"/>
      <w:r w:rsidRPr="00352077">
        <w:rPr>
          <w:bCs/>
        </w:rPr>
        <w:t xml:space="preserve"> più </w:t>
      </w:r>
      <w:proofErr w:type="spellStart"/>
      <w:r w:rsidRPr="00352077">
        <w:rPr>
          <w:bCs/>
        </w:rPr>
        <w:t>neutra</w:t>
      </w:r>
      <w:proofErr w:type="spellEnd"/>
      <w:r w:rsidRPr="00352077">
        <w:rPr>
          <w:bCs/>
        </w:rPr>
        <w:t xml:space="preserve">, </w:t>
      </w:r>
      <w:proofErr w:type="spellStart"/>
      <w:r w:rsidRPr="00352077">
        <w:rPr>
          <w:bCs/>
        </w:rPr>
        <w:t>leggermente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tendente</w:t>
      </w:r>
      <w:proofErr w:type="spellEnd"/>
      <w:r w:rsidRPr="00352077">
        <w:rPr>
          <w:bCs/>
        </w:rPr>
        <w:t xml:space="preserve"> al </w:t>
      </w:r>
      <w:proofErr w:type="spellStart"/>
      <w:r w:rsidRPr="00352077">
        <w:rPr>
          <w:bCs/>
        </w:rPr>
        <w:t>grigio</w:t>
      </w:r>
      <w:proofErr w:type="spellEnd"/>
      <w:r w:rsidRPr="00352077">
        <w:rPr>
          <w:bCs/>
        </w:rPr>
        <w:t xml:space="preserve">; </w:t>
      </w:r>
      <w:r>
        <w:rPr>
          <w:b/>
          <w:bCs/>
        </w:rPr>
        <w:t>Sable</w:t>
      </w:r>
      <w:r w:rsidRPr="00352077">
        <w:rPr>
          <w:bCs/>
        </w:rPr>
        <w:t xml:space="preserve">, </w:t>
      </w:r>
      <w:proofErr w:type="spellStart"/>
      <w:r w:rsidRPr="00352077">
        <w:rPr>
          <w:bCs/>
        </w:rPr>
        <w:t>un'interpretazione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particolarmente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calda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che</w:t>
      </w:r>
      <w:proofErr w:type="spellEnd"/>
      <w:r w:rsidRPr="00352077">
        <w:rPr>
          <w:bCs/>
        </w:rPr>
        <w:t xml:space="preserve"> tende al beige; e </w:t>
      </w:r>
      <w:r>
        <w:rPr>
          <w:b/>
          <w:bCs/>
        </w:rPr>
        <w:t>Blanc</w:t>
      </w:r>
      <w:r w:rsidRPr="00352077">
        <w:rPr>
          <w:bCs/>
        </w:rPr>
        <w:t xml:space="preserve">, un colore </w:t>
      </w:r>
      <w:proofErr w:type="spellStart"/>
      <w:r w:rsidRPr="00352077">
        <w:rPr>
          <w:bCs/>
        </w:rPr>
        <w:t>estremamente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luminoso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che</w:t>
      </w:r>
      <w:proofErr w:type="spellEnd"/>
      <w:r w:rsidRPr="00352077">
        <w:rPr>
          <w:bCs/>
        </w:rPr>
        <w:t xml:space="preserve"> </w:t>
      </w:r>
      <w:proofErr w:type="spellStart"/>
      <w:r w:rsidRPr="00352077">
        <w:rPr>
          <w:bCs/>
        </w:rPr>
        <w:t>attenua</w:t>
      </w:r>
      <w:proofErr w:type="spellEnd"/>
      <w:r w:rsidRPr="00352077">
        <w:rPr>
          <w:bCs/>
        </w:rPr>
        <w:t xml:space="preserve"> i </w:t>
      </w:r>
      <w:proofErr w:type="spellStart"/>
      <w:r w:rsidRPr="00352077">
        <w:rPr>
          <w:bCs/>
        </w:rPr>
        <w:t>contrasti</w:t>
      </w:r>
      <w:proofErr w:type="spellEnd"/>
      <w:r w:rsidRPr="00352077">
        <w:rPr>
          <w:bCs/>
        </w:rPr>
        <w:t xml:space="preserve"> pur </w:t>
      </w:r>
      <w:proofErr w:type="spellStart"/>
      <w:r w:rsidRPr="00352077">
        <w:rPr>
          <w:bCs/>
        </w:rPr>
        <w:t>conservando</w:t>
      </w:r>
      <w:proofErr w:type="spellEnd"/>
      <w:r w:rsidRPr="00352077">
        <w:rPr>
          <w:bCs/>
        </w:rPr>
        <w:t xml:space="preserve"> la </w:t>
      </w:r>
      <w:proofErr w:type="spellStart"/>
      <w:r w:rsidRPr="00352077">
        <w:rPr>
          <w:bCs/>
        </w:rPr>
        <w:t>ricchezza</w:t>
      </w:r>
      <w:proofErr w:type="spellEnd"/>
      <w:r w:rsidRPr="00352077">
        <w:rPr>
          <w:bCs/>
        </w:rPr>
        <w:t xml:space="preserve"> dei </w:t>
      </w:r>
      <w:proofErr w:type="spellStart"/>
      <w:r w:rsidRPr="00352077">
        <w:rPr>
          <w:bCs/>
        </w:rPr>
        <w:t>dettagli</w:t>
      </w:r>
      <w:proofErr w:type="spellEnd"/>
      <w:r w:rsidRPr="00352077">
        <w:rPr>
          <w:bCs/>
        </w:rPr>
        <w:t>.</w:t>
      </w:r>
    </w:p>
    <w:p w14:paraId="3817C17F" w14:textId="77777777" w:rsidR="0097071A" w:rsidRPr="0097071A" w:rsidRDefault="0097071A" w:rsidP="00FD7B3A">
      <w:pPr>
        <w:spacing w:before="240"/>
        <w:rPr>
          <w:bCs/>
          <w:lang w:val="it-IT"/>
        </w:rPr>
      </w:pPr>
      <w:r w:rsidRPr="0097071A">
        <w:rPr>
          <w:bCs/>
          <w:lang w:val="it-IT"/>
        </w:rPr>
        <w:t xml:space="preserve">Questa collezione è disponibile nello spessore 9,0 nei formati 60×120, 80×80, 60×60, 30x60 e 10×60 con finitura R10 - B. Per gli </w:t>
      </w:r>
      <w:r w:rsidRPr="0097071A">
        <w:rPr>
          <w:b/>
          <w:lang w:val="it-IT"/>
        </w:rPr>
        <w:t>esterni</w:t>
      </w:r>
      <w:r w:rsidRPr="0097071A">
        <w:rPr>
          <w:bCs/>
          <w:lang w:val="it-IT"/>
        </w:rPr>
        <w:t>, la gamma è completata dai formati 60×120, 80×80, 60×60 e 30x60 con spessore 9,0 mm con finitura strutturata e caratteristiche antiscivolo R11 - C.</w:t>
      </w:r>
    </w:p>
    <w:p w14:paraId="1251CA65" w14:textId="23DFBF29" w:rsidR="00EA0BE8" w:rsidRPr="00874AAC" w:rsidRDefault="00874AAC" w:rsidP="00FD7B3A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r w:rsidR="0097071A">
        <w:rPr>
          <w:b/>
          <w:lang w:val="it-IT"/>
        </w:rPr>
        <w:t>Théra</w:t>
      </w:r>
      <w:r w:rsidRPr="00874AAC">
        <w:rPr>
          <w:b/>
          <w:lang w:val="it-IT"/>
        </w:rPr>
        <w:t xml:space="preserve"> e (ri)scoprire tutte le collezioni di </w:t>
      </w:r>
      <w:r>
        <w:rPr>
          <w:b/>
          <w:lang w:val="it-IT"/>
        </w:rPr>
        <w:t xml:space="preserve">Novoceram,  appuntamento sul </w:t>
      </w:r>
      <w:r w:rsidR="00000000">
        <w:fldChar w:fldCharType="begin"/>
      </w:r>
      <w:r w:rsidR="00000000">
        <w:instrText>HYPERLINK "http://www.novoceram.it/" \t "_blank"</w:instrText>
      </w:r>
      <w:r w:rsidR="00000000">
        <w:fldChar w:fldCharType="separate"/>
      </w:r>
      <w:r w:rsidR="002E4EF7" w:rsidRPr="002E4EF7">
        <w:rPr>
          <w:rStyle w:val="Lienhypertexte"/>
          <w:b/>
          <w:lang w:val="it-IT"/>
        </w:rPr>
        <w:t>sito</w:t>
      </w:r>
      <w:r w:rsidR="00000000">
        <w:rPr>
          <w:rStyle w:val="Lienhypertexte"/>
          <w:b/>
          <w:lang w:val="it-IT"/>
        </w:rPr>
        <w:fldChar w:fldCharType="end"/>
      </w:r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r w:rsidR="00000000">
        <w:fldChar w:fldCharType="begin"/>
      </w:r>
      <w:r w:rsidR="00000000">
        <w:instrText>HYPERLINK "http://www.facebook.com/novoceram"</w:instrText>
      </w:r>
      <w:r w:rsidR="00000000">
        <w:fldChar w:fldCharType="separate"/>
      </w:r>
      <w:r w:rsidR="00EA0BE8" w:rsidRPr="00874AAC">
        <w:rPr>
          <w:rStyle w:val="Lienhypertexte"/>
          <w:b/>
          <w:lang w:val="it-IT"/>
        </w:rPr>
        <w:t>pag</w:t>
      </w:r>
      <w:r w:rsidR="002E4EF7">
        <w:rPr>
          <w:rStyle w:val="Lienhypertexte"/>
          <w:b/>
          <w:lang w:val="it-IT"/>
        </w:rPr>
        <w:t>ina</w:t>
      </w:r>
      <w:r w:rsidR="00EA0BE8" w:rsidRPr="00874AAC">
        <w:rPr>
          <w:rStyle w:val="Lienhypertexte"/>
          <w:b/>
          <w:lang w:val="it-IT"/>
        </w:rPr>
        <w:t xml:space="preserve"> Facebook</w:t>
      </w:r>
      <w:r w:rsidR="00000000">
        <w:rPr>
          <w:rStyle w:val="Lienhypertexte"/>
          <w:b/>
          <w:lang w:val="it-IT"/>
        </w:rPr>
        <w:fldChar w:fldCharType="end"/>
      </w:r>
      <w:r w:rsidR="0097071A" w:rsidRPr="0097071A">
        <w:rPr>
          <w:bCs/>
        </w:rPr>
        <w:t xml:space="preserve"> e</w:t>
      </w:r>
      <w:r w:rsidR="0097071A">
        <w:rPr>
          <w:bCs/>
        </w:rPr>
        <w:t xml:space="preserve"> </w:t>
      </w:r>
      <w:hyperlink r:id="rId10" w:history="1">
        <w:r w:rsidR="0097071A" w:rsidRPr="0097071A">
          <w:rPr>
            <w:rStyle w:val="Lienhypertexte"/>
            <w:b/>
            <w:lang w:val="it-IT"/>
          </w:rPr>
          <w:t>Instagram</w:t>
        </w:r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5A757A40" w:rsidR="00774BF7" w:rsidRPr="00874AAC" w:rsidRDefault="00EA0BE8" w:rsidP="004E2159">
      <w:pPr>
        <w:pStyle w:val="Titre"/>
        <w:jc w:val="left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1ED66069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F6F">
        <w:rPr>
          <w:noProof/>
          <w:lang w:val="it-IT" w:eastAsia="fr-FR"/>
        </w:rPr>
        <w:t>THERA</w:t>
      </w:r>
    </w:p>
    <w:p w14:paraId="213D69EC" w14:textId="46405F1B" w:rsidR="004E2159" w:rsidRPr="009463BF" w:rsidRDefault="00C669AF" w:rsidP="004E2159">
      <w:pPr>
        <w:pStyle w:val="Sous-titre"/>
        <w:rPr>
          <w:lang w:val="it-IT"/>
        </w:rPr>
      </w:pPr>
      <w:r w:rsidRPr="00C669AF">
        <w:rPr>
          <w:lang w:val="it-IT"/>
        </w:rPr>
        <w:t xml:space="preserve">Pavimenti e rivestimenti in </w:t>
      </w:r>
      <w:r w:rsidR="00B40F6F">
        <w:rPr>
          <w:lang w:val="it-IT"/>
        </w:rPr>
        <w:t>cemento</w:t>
      </w:r>
      <w:r w:rsidRPr="00C669AF">
        <w:rPr>
          <w:lang w:val="it-IT"/>
        </w:rPr>
        <w:t xml:space="preserve"> per interni ed </w:t>
      </w:r>
      <w:r>
        <w:rPr>
          <w:lang w:val="it-IT"/>
        </w:rPr>
        <w:t>esterni</w:t>
      </w:r>
    </w:p>
    <w:p w14:paraId="2A64DAA3" w14:textId="47B145F9" w:rsidR="00EA0BE8" w:rsidRPr="006919FA" w:rsidRDefault="00874AAC" w:rsidP="00EA0BE8">
      <w:pPr>
        <w:pStyle w:val="Titre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C669AF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1107FEE7" w:rsidR="00EA0BE8" w:rsidRPr="00E345F8" w:rsidRDefault="00874AAC" w:rsidP="00785911">
            <w:pPr>
              <w:rPr>
                <w:lang w:val="it-IT"/>
              </w:rPr>
            </w:pPr>
            <w:r w:rsidRPr="00E345F8">
              <w:rPr>
                <w:lang w:val="it-IT"/>
              </w:rPr>
              <w:t>Rivestimenti</w:t>
            </w:r>
            <w:r w:rsidR="001F4D4F" w:rsidRPr="00E345F8">
              <w:rPr>
                <w:lang w:val="it-IT"/>
              </w:rPr>
              <w:t xml:space="preserve"> e pavimenti</w:t>
            </w:r>
            <w:r w:rsidRPr="00E345F8">
              <w:rPr>
                <w:lang w:val="it-IT"/>
              </w:rPr>
              <w:t xml:space="preserve"> interni</w:t>
            </w:r>
            <w:r w:rsidR="00E345F8" w:rsidRPr="00E345F8">
              <w:rPr>
                <w:lang w:val="it-IT"/>
              </w:rPr>
              <w:t xml:space="preserve"> ed esterni</w:t>
            </w:r>
          </w:p>
        </w:tc>
      </w:tr>
      <w:tr w:rsidR="00EA0BE8" w:rsidRPr="00C669AF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4C468B06" w:rsidR="00EA0BE8" w:rsidRPr="00E345F8" w:rsidRDefault="001F4D4F" w:rsidP="00E345F8">
            <w:pPr>
              <w:rPr>
                <w:lang w:val="it-IT"/>
              </w:rPr>
            </w:pPr>
            <w:r w:rsidRPr="00E345F8">
              <w:rPr>
                <w:lang w:val="it-IT"/>
              </w:rPr>
              <w:t xml:space="preserve">Gres porcellanato </w:t>
            </w:r>
            <w:r w:rsidR="00E345F8" w:rsidRPr="00E345F8">
              <w:rPr>
                <w:lang w:val="it-IT"/>
              </w:rPr>
              <w:t>colorato in massa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C1C06C4" w14:textId="209817BB" w:rsidR="00FD7B3A" w:rsidRDefault="00B40F6F" w:rsidP="00D3235D">
            <w:pPr>
              <w:rPr>
                <w:lang w:val="en-GB"/>
              </w:rPr>
            </w:pPr>
            <w:r>
              <w:rPr>
                <w:lang w:val="en-GB"/>
              </w:rPr>
              <w:t>Blanc</w:t>
            </w:r>
          </w:p>
          <w:p w14:paraId="1254BD2F" w14:textId="328FD571" w:rsidR="00B40F6F" w:rsidRDefault="00B40F6F" w:rsidP="00D3235D">
            <w:pPr>
              <w:rPr>
                <w:lang w:val="en-GB"/>
              </w:rPr>
            </w:pPr>
            <w:r>
              <w:rPr>
                <w:lang w:val="en-GB"/>
              </w:rPr>
              <w:t>Sable</w:t>
            </w:r>
          </w:p>
          <w:p w14:paraId="452C7A06" w14:textId="164F3B1E" w:rsidR="00FD7B3A" w:rsidRDefault="00B40F6F" w:rsidP="00D3235D">
            <w:pPr>
              <w:rPr>
                <w:lang w:val="en-GB"/>
              </w:rPr>
            </w:pPr>
            <w:r>
              <w:rPr>
                <w:lang w:val="en-GB"/>
              </w:rPr>
              <w:t>Ivoire</w:t>
            </w:r>
          </w:p>
          <w:p w14:paraId="4FFE08A0" w14:textId="40DA4B85" w:rsidR="00FD7B3A" w:rsidRPr="006919FA" w:rsidRDefault="00B40F6F" w:rsidP="00D3235D">
            <w:pPr>
              <w:rPr>
                <w:lang w:val="en-GB"/>
              </w:rPr>
            </w:pPr>
            <w:r>
              <w:rPr>
                <w:lang w:val="en-GB"/>
              </w:rPr>
              <w:t>Naturel</w:t>
            </w:r>
          </w:p>
        </w:tc>
      </w:tr>
      <w:tr w:rsidR="00EA0BE8" w:rsidRPr="00FD7B3A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635E90C9" w14:textId="5A394030" w:rsidR="00FD7B3A" w:rsidRDefault="00B40F6F" w:rsidP="00FD7B3A">
            <w:pPr>
              <w:pStyle w:val="Default"/>
              <w:jc w:val="both"/>
              <w:rPr>
                <w:color w:val="808080"/>
                <w:sz w:val="22"/>
                <w:szCs w:val="22"/>
                <w:lang w:val="en-GB"/>
              </w:rPr>
            </w:pPr>
            <w:r>
              <w:rPr>
                <w:color w:val="808080"/>
                <w:sz w:val="22"/>
                <w:szCs w:val="22"/>
                <w:lang w:val="en-GB"/>
              </w:rPr>
              <w:t>6</w:t>
            </w:r>
            <w:r w:rsidR="00FD7B3A" w:rsidRPr="00FD7B3A">
              <w:rPr>
                <w:color w:val="808080"/>
                <w:sz w:val="22"/>
                <w:szCs w:val="22"/>
                <w:lang w:val="en-GB"/>
              </w:rPr>
              <w:t xml:space="preserve">0x120 cm </w:t>
            </w:r>
          </w:p>
          <w:p w14:paraId="2DE04D48" w14:textId="3DE55FF0" w:rsidR="00FD7B3A" w:rsidRPr="00FD7B3A" w:rsidRDefault="00FD7B3A" w:rsidP="00FD7B3A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FD7B3A">
              <w:rPr>
                <w:color w:val="808080"/>
                <w:sz w:val="22"/>
                <w:szCs w:val="22"/>
                <w:lang w:val="en-GB"/>
              </w:rPr>
              <w:t xml:space="preserve">80x80 cm </w:t>
            </w:r>
          </w:p>
          <w:p w14:paraId="11018240" w14:textId="77777777" w:rsidR="00FD7B3A" w:rsidRPr="00FD7B3A" w:rsidRDefault="00FD7B3A" w:rsidP="00FD7B3A">
            <w:pPr>
              <w:pStyle w:val="Default"/>
              <w:jc w:val="both"/>
              <w:rPr>
                <w:color w:val="808080"/>
                <w:sz w:val="22"/>
                <w:szCs w:val="22"/>
                <w:lang w:val="en-GB"/>
              </w:rPr>
            </w:pPr>
            <w:r w:rsidRPr="00FD7B3A">
              <w:rPr>
                <w:color w:val="808080"/>
                <w:sz w:val="22"/>
                <w:szCs w:val="22"/>
                <w:lang w:val="en-GB"/>
              </w:rPr>
              <w:t xml:space="preserve">60x60 cm </w:t>
            </w:r>
          </w:p>
          <w:p w14:paraId="01EE827B" w14:textId="77777777" w:rsidR="00FD7B3A" w:rsidRPr="00FD7B3A" w:rsidRDefault="00FD7B3A" w:rsidP="00FD7B3A">
            <w:pPr>
              <w:pStyle w:val="Default"/>
              <w:jc w:val="both"/>
              <w:rPr>
                <w:color w:val="808080"/>
                <w:sz w:val="22"/>
                <w:szCs w:val="22"/>
                <w:lang w:val="fr-FR"/>
              </w:rPr>
            </w:pPr>
            <w:r w:rsidRPr="00FD7B3A">
              <w:rPr>
                <w:color w:val="808080"/>
                <w:sz w:val="22"/>
                <w:szCs w:val="22"/>
                <w:lang w:val="fr-FR"/>
              </w:rPr>
              <w:t xml:space="preserve">30x60 cm </w:t>
            </w:r>
          </w:p>
          <w:p w14:paraId="3610691F" w14:textId="77777777" w:rsidR="00FD7B3A" w:rsidRPr="00FD7B3A" w:rsidRDefault="00FD7B3A" w:rsidP="00FD7B3A">
            <w:pPr>
              <w:pStyle w:val="Default"/>
              <w:jc w:val="both"/>
              <w:rPr>
                <w:color w:val="808080"/>
                <w:sz w:val="22"/>
                <w:szCs w:val="22"/>
                <w:lang w:val="fr-FR"/>
              </w:rPr>
            </w:pPr>
            <w:r w:rsidRPr="00FD7B3A">
              <w:rPr>
                <w:color w:val="808080"/>
                <w:sz w:val="22"/>
                <w:szCs w:val="22"/>
                <w:lang w:val="fr-FR"/>
              </w:rPr>
              <w:t xml:space="preserve">10x60 cm </w:t>
            </w:r>
          </w:p>
          <w:p w14:paraId="02A0325F" w14:textId="428D7DF8" w:rsidR="00EA0BE8" w:rsidRPr="00FD7B3A" w:rsidRDefault="00FD7B3A" w:rsidP="00FD7B3A">
            <w:pPr>
              <w:pStyle w:val="Default"/>
              <w:jc w:val="both"/>
              <w:rPr>
                <w:lang w:val="fr-FR"/>
              </w:rPr>
            </w:pPr>
            <w:r w:rsidRPr="00FD7B3A">
              <w:rPr>
                <w:color w:val="808080"/>
                <w:sz w:val="22"/>
                <w:szCs w:val="22"/>
                <w:lang w:val="fr-FR"/>
              </w:rPr>
              <w:t xml:space="preserve">Mosaïque 5x5 cm 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2AFB2068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767E6176" w:rsidR="00EA0BE8" w:rsidRPr="006919FA" w:rsidRDefault="00F6153B" w:rsidP="00F615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strutturato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02494C">
              <w:rPr>
                <w:lang w:val="en-GB"/>
              </w:rPr>
              <w:t>antiscivolo</w:t>
            </w:r>
            <w:proofErr w:type="spellEnd"/>
          </w:p>
        </w:tc>
      </w:tr>
      <w:tr w:rsidR="00EA0BE8" w:rsidRPr="00C669AF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6A419BCC" w:rsidR="00EA0BE8" w:rsidRPr="00F6153B" w:rsidRDefault="00F6153B" w:rsidP="00785911">
            <w:pPr>
              <w:rPr>
                <w:lang w:val="it-IT"/>
              </w:rPr>
            </w:pPr>
            <w:r w:rsidRPr="00F6153B">
              <w:rPr>
                <w:lang w:val="it-IT"/>
              </w:rPr>
              <w:t xml:space="preserve">Battiscopa, </w:t>
            </w:r>
            <w:r w:rsidR="004E2159" w:rsidRPr="00F6153B">
              <w:rPr>
                <w:lang w:val="it-IT"/>
              </w:rPr>
              <w:t>gradini</w:t>
            </w:r>
          </w:p>
        </w:tc>
      </w:tr>
    </w:tbl>
    <w:p w14:paraId="4F2BF7A9" w14:textId="2C8447E1" w:rsidR="00EA0BE8" w:rsidRPr="00584A0B" w:rsidRDefault="00EA0BE8" w:rsidP="00EA0BE8">
      <w:pPr>
        <w:pStyle w:val="Titre"/>
        <w:rPr>
          <w:lang w:val="it-IT"/>
        </w:rPr>
      </w:pPr>
      <w:r w:rsidRPr="00F6153B">
        <w:rPr>
          <w:lang w:val="it-IT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F6F">
        <w:rPr>
          <w:noProof/>
          <w:lang w:val="it-IT" w:eastAsia="fr-FR"/>
        </w:rPr>
        <w:t>THERA</w:t>
      </w:r>
    </w:p>
    <w:p w14:paraId="4C154B0A" w14:textId="4038895C" w:rsidR="004E2159" w:rsidRPr="009463BF" w:rsidRDefault="00C669AF" w:rsidP="004E2159">
      <w:pPr>
        <w:pStyle w:val="Sous-titre"/>
        <w:rPr>
          <w:lang w:val="it-IT"/>
        </w:rPr>
      </w:pPr>
      <w:r>
        <w:rPr>
          <w:lang w:val="it-IT"/>
        </w:rPr>
        <w:t>P</w:t>
      </w:r>
      <w:r w:rsidRPr="00C669AF">
        <w:rPr>
          <w:lang w:val="it-IT"/>
        </w:rPr>
        <w:t xml:space="preserve">avimenti e rivestimenti in </w:t>
      </w:r>
      <w:r w:rsidR="00B40F6F">
        <w:rPr>
          <w:lang w:val="it-IT"/>
        </w:rPr>
        <w:t>cemento</w:t>
      </w:r>
      <w:r w:rsidRPr="00C669AF">
        <w:rPr>
          <w:lang w:val="it-IT"/>
        </w:rPr>
        <w:t xml:space="preserve"> per interni ed </w:t>
      </w:r>
      <w:r>
        <w:rPr>
          <w:lang w:val="it-IT"/>
        </w:rPr>
        <w:t>esterni</w:t>
      </w:r>
    </w:p>
    <w:p w14:paraId="0B8A8B93" w14:textId="709D7A63" w:rsidR="00EA0BE8" w:rsidRPr="00584A0B" w:rsidRDefault="00874AAC" w:rsidP="00EA0BE8">
      <w:pPr>
        <w:pStyle w:val="Titre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000000" w:rsidP="00062E51">
      <w:pPr>
        <w:numPr>
          <w:ilvl w:val="0"/>
          <w:numId w:val="13"/>
        </w:numPr>
        <w:rPr>
          <w:lang w:val="it-IT"/>
        </w:rPr>
      </w:pPr>
      <w:hyperlink r:id="rId11" w:tgtFrame="_blank" w:history="1">
        <w:r w:rsidR="00FA5EEA" w:rsidRPr="001F4D4F">
          <w:rPr>
            <w:rStyle w:val="Lienhypertext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000000" w:rsidP="00EA0BE8">
      <w:pPr>
        <w:numPr>
          <w:ilvl w:val="0"/>
          <w:numId w:val="13"/>
        </w:numPr>
        <w:rPr>
          <w:lang w:val="it-IT"/>
        </w:rPr>
      </w:pPr>
      <w:hyperlink r:id="rId12" w:tgtFrame="_blank" w:history="1">
        <w:r w:rsidR="00FA5EEA" w:rsidRPr="001F4D4F">
          <w:rPr>
            <w:rStyle w:val="Lienhypertext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Default="00000000" w:rsidP="000F60D4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Lienhypertext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4A59891" w14:textId="3B1619FC" w:rsidR="00B40F6F" w:rsidRPr="00B40F6F" w:rsidRDefault="00B40F6F" w:rsidP="00B40F6F">
      <w:pPr>
        <w:numPr>
          <w:ilvl w:val="0"/>
          <w:numId w:val="13"/>
        </w:numPr>
      </w:pPr>
      <w:hyperlink r:id="rId14" w:tgtFrame="_blank" w:history="1">
        <w:r w:rsidRPr="001F4D4F">
          <w:rPr>
            <w:rStyle w:val="Lienhypertexte"/>
            <w:b/>
            <w:lang w:val="it-IT"/>
          </w:rPr>
          <w:t xml:space="preserve">ISO EN </w:t>
        </w:r>
        <w:r>
          <w:rPr>
            <w:rStyle w:val="Lienhypertexte"/>
            <w:b/>
            <w:lang w:val="it-IT"/>
          </w:rPr>
          <w:t>17889-1</w:t>
        </w:r>
      </w:hyperlink>
      <w:r w:rsidRPr="00D54595">
        <w:rPr>
          <w:lang w:val="it-IT"/>
        </w:rPr>
        <w:t xml:space="preserve">: </w:t>
      </w:r>
      <w:r w:rsidRPr="00B40F6F">
        <w:t xml:space="preserve">norma </w:t>
      </w:r>
      <w:proofErr w:type="spellStart"/>
      <w:r w:rsidRPr="00B40F6F">
        <w:t>che</w:t>
      </w:r>
      <w:proofErr w:type="spellEnd"/>
      <w:r w:rsidRPr="00B40F6F">
        <w:t xml:space="preserve"> </w:t>
      </w:r>
      <w:proofErr w:type="spellStart"/>
      <w:r w:rsidRPr="00B40F6F">
        <w:t>stabilisce</w:t>
      </w:r>
      <w:proofErr w:type="spellEnd"/>
      <w:r w:rsidRPr="00B40F6F">
        <w:t xml:space="preserve"> i </w:t>
      </w:r>
      <w:proofErr w:type="spellStart"/>
      <w:r w:rsidRPr="00B40F6F">
        <w:t>requisiti</w:t>
      </w:r>
      <w:proofErr w:type="spellEnd"/>
      <w:r w:rsidRPr="00B40F6F">
        <w:t xml:space="preserve"> </w:t>
      </w:r>
      <w:proofErr w:type="spellStart"/>
      <w:r w:rsidRPr="00B40F6F">
        <w:t>relativi</w:t>
      </w:r>
      <w:proofErr w:type="spellEnd"/>
      <w:r w:rsidRPr="00B40F6F">
        <w:t xml:space="preserve"> al </w:t>
      </w:r>
      <w:proofErr w:type="spellStart"/>
      <w:r w:rsidRPr="00B40F6F">
        <w:rPr>
          <w:b/>
          <w:bCs/>
        </w:rPr>
        <w:t>sistema</w:t>
      </w:r>
      <w:proofErr w:type="spellEnd"/>
      <w:r w:rsidRPr="00B40F6F">
        <w:rPr>
          <w:b/>
          <w:bCs/>
        </w:rPr>
        <w:t xml:space="preserve"> di </w:t>
      </w:r>
      <w:proofErr w:type="spellStart"/>
      <w:r w:rsidRPr="00B40F6F">
        <w:rPr>
          <w:b/>
          <w:bCs/>
        </w:rPr>
        <w:t>gestione</w:t>
      </w:r>
      <w:proofErr w:type="spellEnd"/>
      <w:r w:rsidRPr="00B40F6F">
        <w:rPr>
          <w:b/>
          <w:bCs/>
        </w:rPr>
        <w:t xml:space="preserve"> </w:t>
      </w:r>
      <w:proofErr w:type="spellStart"/>
      <w:r w:rsidRPr="00B40F6F">
        <w:rPr>
          <w:b/>
          <w:bCs/>
        </w:rPr>
        <w:t>dell'energia</w:t>
      </w:r>
      <w:proofErr w:type="spellEnd"/>
      <w:r w:rsidRPr="00B40F6F">
        <w:t xml:space="preserve">. </w:t>
      </w:r>
      <w:proofErr w:type="spellStart"/>
      <w:r w:rsidRPr="00B40F6F">
        <w:t>Questa</w:t>
      </w:r>
      <w:proofErr w:type="spellEnd"/>
      <w:r w:rsidRPr="00B40F6F">
        <w:t xml:space="preserve"> </w:t>
      </w:r>
      <w:proofErr w:type="spellStart"/>
      <w:r w:rsidRPr="00B40F6F">
        <w:t>certificazione</w:t>
      </w:r>
      <w:proofErr w:type="spellEnd"/>
      <w:r w:rsidRPr="00B40F6F">
        <w:t xml:space="preserve">, </w:t>
      </w:r>
      <w:proofErr w:type="spellStart"/>
      <w:r w:rsidRPr="00B40F6F">
        <w:t>motivata</w:t>
      </w:r>
      <w:proofErr w:type="spellEnd"/>
      <w:r w:rsidRPr="00B40F6F">
        <w:t xml:space="preserve"> dal </w:t>
      </w:r>
      <w:proofErr w:type="spellStart"/>
      <w:r w:rsidRPr="00B40F6F">
        <w:t>desiderio</w:t>
      </w:r>
      <w:proofErr w:type="spellEnd"/>
      <w:r w:rsidRPr="00B40F6F">
        <w:t xml:space="preserve"> di </w:t>
      </w:r>
      <w:proofErr w:type="spellStart"/>
      <w:r w:rsidRPr="00B40F6F">
        <w:t>controllare</w:t>
      </w:r>
      <w:proofErr w:type="spellEnd"/>
      <w:r w:rsidRPr="00B40F6F">
        <w:t xml:space="preserve"> e </w:t>
      </w:r>
      <w:proofErr w:type="spellStart"/>
      <w:r w:rsidRPr="00B40F6F">
        <w:t>ottimizzare</w:t>
      </w:r>
      <w:proofErr w:type="spellEnd"/>
      <w:r w:rsidRPr="00B40F6F">
        <w:t xml:space="preserve"> </w:t>
      </w:r>
      <w:proofErr w:type="spellStart"/>
      <w:r w:rsidRPr="00B40F6F">
        <w:t>meglio</w:t>
      </w:r>
      <w:proofErr w:type="spellEnd"/>
      <w:r w:rsidRPr="00B40F6F">
        <w:t xml:space="preserve"> il </w:t>
      </w:r>
      <w:proofErr w:type="spellStart"/>
      <w:r w:rsidRPr="00B40F6F">
        <w:t>consumo</w:t>
      </w:r>
      <w:proofErr w:type="spellEnd"/>
      <w:r w:rsidRPr="00B40F6F">
        <w:t xml:space="preserve"> </w:t>
      </w:r>
      <w:proofErr w:type="spellStart"/>
      <w:r w:rsidRPr="00B40F6F">
        <w:t>energetico</w:t>
      </w:r>
      <w:proofErr w:type="spellEnd"/>
      <w:r w:rsidRPr="00B40F6F">
        <w:t xml:space="preserve">, è la </w:t>
      </w:r>
      <w:proofErr w:type="spellStart"/>
      <w:r w:rsidRPr="00B40F6F">
        <w:t>logica</w:t>
      </w:r>
      <w:proofErr w:type="spellEnd"/>
      <w:r w:rsidRPr="00B40F6F">
        <w:t xml:space="preserve"> </w:t>
      </w:r>
      <w:proofErr w:type="spellStart"/>
      <w:r w:rsidRPr="00B40F6F">
        <w:t>conseguenza</w:t>
      </w:r>
      <w:proofErr w:type="spellEnd"/>
      <w:r w:rsidRPr="00B40F6F">
        <w:t xml:space="preserve"> di un </w:t>
      </w:r>
      <w:proofErr w:type="spellStart"/>
      <w:r w:rsidRPr="00B40F6F">
        <w:t>approccio</w:t>
      </w:r>
      <w:proofErr w:type="spellEnd"/>
      <w:r w:rsidRPr="00B40F6F">
        <w:t xml:space="preserve"> di </w:t>
      </w:r>
      <w:proofErr w:type="spellStart"/>
      <w:r w:rsidRPr="00B40F6F">
        <w:t>miglioramento</w:t>
      </w:r>
      <w:proofErr w:type="spellEnd"/>
      <w:r w:rsidRPr="00B40F6F">
        <w:t xml:space="preserve"> continuo e di un </w:t>
      </w:r>
      <w:proofErr w:type="spellStart"/>
      <w:r w:rsidRPr="00B40F6F">
        <w:t>impegno</w:t>
      </w:r>
      <w:proofErr w:type="spellEnd"/>
      <w:r w:rsidRPr="00B40F6F">
        <w:t xml:space="preserve"> </w:t>
      </w:r>
      <w:proofErr w:type="spellStart"/>
      <w:r w:rsidRPr="00B40F6F">
        <w:t>ecologico</w:t>
      </w:r>
      <w:proofErr w:type="spellEnd"/>
      <w:r w:rsidRPr="00B40F6F">
        <w:t>.</w:t>
      </w:r>
    </w:p>
    <w:p w14:paraId="4F6F0FF2" w14:textId="06D07926" w:rsidR="00EA0BE8" w:rsidRPr="006919FA" w:rsidRDefault="00D54595" w:rsidP="00EA0BE8">
      <w:pPr>
        <w:pStyle w:val="Titre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000000" w:rsidP="00380859">
      <w:pPr>
        <w:numPr>
          <w:ilvl w:val="0"/>
          <w:numId w:val="13"/>
        </w:numPr>
        <w:rPr>
          <w:lang w:val="it-IT"/>
        </w:rPr>
      </w:pPr>
      <w:hyperlink r:id="rId15" w:history="1">
        <w:r w:rsidR="00584A0B">
          <w:rPr>
            <w:rStyle w:val="Lienhypertext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6" w:history="1">
        <w:r w:rsidR="00FA5EEA" w:rsidRPr="00FA5EEA">
          <w:rPr>
            <w:rStyle w:val="Lienhypertext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>(Leadership in Energy and Environmental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7" w:tgtFrame="_blank" w:history="1">
        <w:r w:rsidR="000F60D4" w:rsidRPr="00FA5EEA">
          <w:rPr>
            <w:rStyle w:val="Lienhypertext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>ce Environnemental Footprint) e</w:t>
      </w:r>
      <w:r w:rsidR="000F60D4" w:rsidRPr="00D54595">
        <w:rPr>
          <w:rFonts w:cs="Calibri"/>
          <w:lang w:val="it-IT"/>
        </w:rPr>
        <w:t xml:space="preserve"> </w:t>
      </w:r>
      <w:hyperlink r:id="rId18" w:tgtFrame="_blank" w:history="1">
        <w:r w:rsidR="000F60D4" w:rsidRPr="00FA5EEA">
          <w:rPr>
            <w:rStyle w:val="Lienhypertext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(Environnemental Product Declaration)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19"/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1A5D" w14:textId="77777777" w:rsidR="00D13938" w:rsidRDefault="00D13938">
      <w:r>
        <w:separator/>
      </w:r>
    </w:p>
  </w:endnote>
  <w:endnote w:type="continuationSeparator" w:id="0">
    <w:p w14:paraId="10F2DB83" w14:textId="77777777" w:rsidR="00D13938" w:rsidRDefault="00D1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3930A" w14:textId="44C72C08" w:rsidR="00380859" w:rsidRPr="00874AAC" w:rsidRDefault="00380859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AC">
      <w:rPr>
        <w:lang w:val="it-IT"/>
      </w:rPr>
      <w:t xml:space="preserve">INFORMAZIONI E INTERVISTE: </w:t>
    </w:r>
    <w:r>
      <w:rPr>
        <w:lang w:val="it-IT"/>
      </w:rPr>
      <w:t>Il nostro ufficio stampa, tutto il team</w:t>
    </w:r>
    <w:r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</w:t>
    </w:r>
    <w:r w:rsidRPr="00874AAC">
      <w:rPr>
        <w:lang w:val="it-IT"/>
      </w:rPr>
      <w:t xml:space="preserve">Non esitate a contattarci all’indirizzo: pressoffice@novoceram.fr </w:t>
    </w:r>
    <w:hyperlink r:id="rId2" w:history="1">
      <w:r w:rsidRPr="00874AAC">
        <w:rPr>
          <w:rStyle w:val="Lienhypertexte"/>
          <w:sz w:val="20"/>
          <w:szCs w:val="20"/>
          <w:lang w:val="it-IT"/>
        </w:rPr>
        <w:t>pressoffice@novoceram.fr</w:t>
      </w:r>
    </w:hyperlink>
    <w:r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380859" w:rsidRPr="00C669AF" w:rsidRDefault="00380859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8D7550D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Pr="00C669AF">
      <w:rPr>
        <w:b/>
        <w:color w:val="BFBFBF"/>
        <w:sz w:val="16"/>
        <w:szCs w:val="16"/>
        <w:lang w:val="it-IT"/>
      </w:rPr>
      <w:t xml:space="preserve"> </w:t>
    </w:r>
    <w:proofErr w:type="spellStart"/>
    <w:r w:rsidRPr="00C669AF">
      <w:rPr>
        <w:b/>
        <w:color w:val="BFBFBF"/>
        <w:sz w:val="16"/>
        <w:szCs w:val="16"/>
      </w:rPr>
      <w:t>Novoceram</w:t>
    </w:r>
    <w:proofErr w:type="spellEnd"/>
    <w:r w:rsidRPr="00C669AF">
      <w:rPr>
        <w:b/>
        <w:color w:val="BFBFBF"/>
        <w:sz w:val="16"/>
        <w:szCs w:val="16"/>
      </w:rPr>
      <w:t xml:space="preserve"> sas – Z.I. </w:t>
    </w:r>
    <w:proofErr w:type="spellStart"/>
    <w:proofErr w:type="gramStart"/>
    <w:r w:rsidRPr="00C669AF">
      <w:rPr>
        <w:b/>
        <w:color w:val="BFBFBF"/>
        <w:sz w:val="16"/>
        <w:szCs w:val="16"/>
      </w:rPr>
      <w:t>Orti</w:t>
    </w:r>
    <w:proofErr w:type="spellEnd"/>
    <w:r w:rsidRPr="00C669AF">
      <w:rPr>
        <w:b/>
        <w:color w:val="BFBFBF"/>
        <w:sz w:val="16"/>
        <w:szCs w:val="16"/>
      </w:rPr>
      <w:t>,  Laveyron</w:t>
    </w:r>
    <w:proofErr w:type="gramEnd"/>
    <w:r w:rsidRPr="00C669AF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Pr="00C669AF">
      <w:rPr>
        <w:b/>
        <w:color w:val="948A54"/>
        <w:sz w:val="16"/>
        <w:szCs w:val="16"/>
      </w:rPr>
      <w:t xml:space="preserve">  </w:t>
    </w:r>
    <w:hyperlink r:id="rId3" w:history="1">
      <w:r w:rsidRPr="00C669AF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Pr="00C669AF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9685E" w14:textId="77777777" w:rsidR="00D13938" w:rsidRDefault="00D13938">
      <w:r>
        <w:separator/>
      </w:r>
    </w:p>
  </w:footnote>
  <w:footnote w:type="continuationSeparator" w:id="0">
    <w:p w14:paraId="53A522EC" w14:textId="77777777" w:rsidR="00D13938" w:rsidRDefault="00D13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CF27" w14:textId="77777777" w:rsidR="00380859" w:rsidRDefault="003808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D93A" w14:textId="548B0FA3" w:rsidR="00380859" w:rsidRPr="00D217B6" w:rsidRDefault="00380859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5320754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208197">
    <w:abstractNumId w:val="8"/>
  </w:num>
  <w:num w:numId="2" w16cid:durableId="2049330430">
    <w:abstractNumId w:val="8"/>
  </w:num>
  <w:num w:numId="3" w16cid:durableId="1503281400">
    <w:abstractNumId w:val="3"/>
  </w:num>
  <w:num w:numId="4" w16cid:durableId="1996298250">
    <w:abstractNumId w:val="2"/>
  </w:num>
  <w:num w:numId="5" w16cid:durableId="903837642">
    <w:abstractNumId w:val="1"/>
  </w:num>
  <w:num w:numId="6" w16cid:durableId="840124886">
    <w:abstractNumId w:val="0"/>
  </w:num>
  <w:num w:numId="7" w16cid:durableId="99640999">
    <w:abstractNumId w:val="9"/>
  </w:num>
  <w:num w:numId="8" w16cid:durableId="278144713">
    <w:abstractNumId w:val="7"/>
  </w:num>
  <w:num w:numId="9" w16cid:durableId="503520924">
    <w:abstractNumId w:val="6"/>
  </w:num>
  <w:num w:numId="10" w16cid:durableId="1128550069">
    <w:abstractNumId w:val="5"/>
  </w:num>
  <w:num w:numId="11" w16cid:durableId="698316187">
    <w:abstractNumId w:val="4"/>
  </w:num>
  <w:num w:numId="12" w16cid:durableId="1907956852">
    <w:abstractNumId w:val="10"/>
  </w:num>
  <w:num w:numId="13" w16cid:durableId="1934782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2494C"/>
    <w:rsid w:val="00052E1D"/>
    <w:rsid w:val="000565A3"/>
    <w:rsid w:val="00062E51"/>
    <w:rsid w:val="00064640"/>
    <w:rsid w:val="000710C4"/>
    <w:rsid w:val="00077C13"/>
    <w:rsid w:val="000A1B9A"/>
    <w:rsid w:val="000A3202"/>
    <w:rsid w:val="000A3A66"/>
    <w:rsid w:val="000B6508"/>
    <w:rsid w:val="000C1F5E"/>
    <w:rsid w:val="000C1FAC"/>
    <w:rsid w:val="000C32CE"/>
    <w:rsid w:val="000C618A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2074"/>
    <w:rsid w:val="001C3ECA"/>
    <w:rsid w:val="001C6AFA"/>
    <w:rsid w:val="001D49F0"/>
    <w:rsid w:val="001F4D4F"/>
    <w:rsid w:val="00204632"/>
    <w:rsid w:val="002205FA"/>
    <w:rsid w:val="00234871"/>
    <w:rsid w:val="002428E6"/>
    <w:rsid w:val="0024441F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328E"/>
    <w:rsid w:val="002D4624"/>
    <w:rsid w:val="002D71D2"/>
    <w:rsid w:val="002E1084"/>
    <w:rsid w:val="002E2171"/>
    <w:rsid w:val="002E4A98"/>
    <w:rsid w:val="002E4BA1"/>
    <w:rsid w:val="002E4EF7"/>
    <w:rsid w:val="002E515E"/>
    <w:rsid w:val="002F5BAE"/>
    <w:rsid w:val="002F770D"/>
    <w:rsid w:val="00303389"/>
    <w:rsid w:val="00304EF9"/>
    <w:rsid w:val="00307FDA"/>
    <w:rsid w:val="00341785"/>
    <w:rsid w:val="00344404"/>
    <w:rsid w:val="00344F10"/>
    <w:rsid w:val="00352077"/>
    <w:rsid w:val="00352B42"/>
    <w:rsid w:val="00366E40"/>
    <w:rsid w:val="003749FA"/>
    <w:rsid w:val="00374ACD"/>
    <w:rsid w:val="003752A6"/>
    <w:rsid w:val="00380859"/>
    <w:rsid w:val="003835C0"/>
    <w:rsid w:val="003A09C7"/>
    <w:rsid w:val="003C7CEA"/>
    <w:rsid w:val="003D7F4B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64EF"/>
    <w:rsid w:val="00494F2D"/>
    <w:rsid w:val="004B3749"/>
    <w:rsid w:val="004B5A6E"/>
    <w:rsid w:val="004B5FA6"/>
    <w:rsid w:val="004C6938"/>
    <w:rsid w:val="004D1759"/>
    <w:rsid w:val="004D7365"/>
    <w:rsid w:val="004E2159"/>
    <w:rsid w:val="004E5211"/>
    <w:rsid w:val="004E7EAC"/>
    <w:rsid w:val="004F1054"/>
    <w:rsid w:val="005033D4"/>
    <w:rsid w:val="00511104"/>
    <w:rsid w:val="00513142"/>
    <w:rsid w:val="00530086"/>
    <w:rsid w:val="00532414"/>
    <w:rsid w:val="0054322C"/>
    <w:rsid w:val="00550360"/>
    <w:rsid w:val="00566133"/>
    <w:rsid w:val="00567135"/>
    <w:rsid w:val="005816C8"/>
    <w:rsid w:val="00582C4E"/>
    <w:rsid w:val="00584A0B"/>
    <w:rsid w:val="0059641A"/>
    <w:rsid w:val="005C0CA5"/>
    <w:rsid w:val="005C2223"/>
    <w:rsid w:val="005D1B5A"/>
    <w:rsid w:val="005D3460"/>
    <w:rsid w:val="005D7326"/>
    <w:rsid w:val="005E46D0"/>
    <w:rsid w:val="005E548A"/>
    <w:rsid w:val="005E6D13"/>
    <w:rsid w:val="00625FF7"/>
    <w:rsid w:val="00642DD0"/>
    <w:rsid w:val="00650966"/>
    <w:rsid w:val="00653A20"/>
    <w:rsid w:val="006558F5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98C"/>
    <w:rsid w:val="006F0F35"/>
    <w:rsid w:val="007008BD"/>
    <w:rsid w:val="00706BF1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7639C"/>
    <w:rsid w:val="00782455"/>
    <w:rsid w:val="007827E5"/>
    <w:rsid w:val="00785911"/>
    <w:rsid w:val="007A002B"/>
    <w:rsid w:val="007D2341"/>
    <w:rsid w:val="007E2C66"/>
    <w:rsid w:val="007E6893"/>
    <w:rsid w:val="007F698D"/>
    <w:rsid w:val="00811C09"/>
    <w:rsid w:val="00833AA1"/>
    <w:rsid w:val="0083495E"/>
    <w:rsid w:val="00842D3D"/>
    <w:rsid w:val="00855A8E"/>
    <w:rsid w:val="00862C90"/>
    <w:rsid w:val="008705D8"/>
    <w:rsid w:val="00873A0B"/>
    <w:rsid w:val="00874AAC"/>
    <w:rsid w:val="0088179D"/>
    <w:rsid w:val="00894131"/>
    <w:rsid w:val="008C2404"/>
    <w:rsid w:val="008C7F59"/>
    <w:rsid w:val="008F3D2B"/>
    <w:rsid w:val="0090354B"/>
    <w:rsid w:val="009053C6"/>
    <w:rsid w:val="009100E1"/>
    <w:rsid w:val="009149F6"/>
    <w:rsid w:val="00922197"/>
    <w:rsid w:val="00935AE7"/>
    <w:rsid w:val="00941EF0"/>
    <w:rsid w:val="00942216"/>
    <w:rsid w:val="009463BF"/>
    <w:rsid w:val="009657A5"/>
    <w:rsid w:val="0097071A"/>
    <w:rsid w:val="00991D79"/>
    <w:rsid w:val="009A76EA"/>
    <w:rsid w:val="009C1B78"/>
    <w:rsid w:val="009C4554"/>
    <w:rsid w:val="009C69B4"/>
    <w:rsid w:val="009D6BE8"/>
    <w:rsid w:val="009E6933"/>
    <w:rsid w:val="009F6DBB"/>
    <w:rsid w:val="00A01C38"/>
    <w:rsid w:val="00A16721"/>
    <w:rsid w:val="00A3674E"/>
    <w:rsid w:val="00A530E8"/>
    <w:rsid w:val="00A65F5A"/>
    <w:rsid w:val="00A71AB2"/>
    <w:rsid w:val="00A81921"/>
    <w:rsid w:val="00A843A1"/>
    <w:rsid w:val="00A92EFC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0F6F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C5CC3"/>
    <w:rsid w:val="00BD29BC"/>
    <w:rsid w:val="00BE245C"/>
    <w:rsid w:val="00BE71F0"/>
    <w:rsid w:val="00BF08F8"/>
    <w:rsid w:val="00C02CDE"/>
    <w:rsid w:val="00C35A26"/>
    <w:rsid w:val="00C51C97"/>
    <w:rsid w:val="00C574D0"/>
    <w:rsid w:val="00C6062B"/>
    <w:rsid w:val="00C669AF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6F5"/>
    <w:rsid w:val="00D01A57"/>
    <w:rsid w:val="00D13938"/>
    <w:rsid w:val="00D145DE"/>
    <w:rsid w:val="00D217B6"/>
    <w:rsid w:val="00D3235D"/>
    <w:rsid w:val="00D44897"/>
    <w:rsid w:val="00D54595"/>
    <w:rsid w:val="00D72487"/>
    <w:rsid w:val="00D84E34"/>
    <w:rsid w:val="00D85EF7"/>
    <w:rsid w:val="00D876C9"/>
    <w:rsid w:val="00DA06A9"/>
    <w:rsid w:val="00DA29C4"/>
    <w:rsid w:val="00DC013F"/>
    <w:rsid w:val="00DC33EE"/>
    <w:rsid w:val="00DC5914"/>
    <w:rsid w:val="00DD6422"/>
    <w:rsid w:val="00DF5483"/>
    <w:rsid w:val="00E1131F"/>
    <w:rsid w:val="00E1322B"/>
    <w:rsid w:val="00E345F8"/>
    <w:rsid w:val="00E47537"/>
    <w:rsid w:val="00E619E4"/>
    <w:rsid w:val="00E67C10"/>
    <w:rsid w:val="00E86C84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153B"/>
    <w:rsid w:val="00F6394F"/>
    <w:rsid w:val="00F656BC"/>
    <w:rsid w:val="00F66761"/>
    <w:rsid w:val="00F704A6"/>
    <w:rsid w:val="00F832D7"/>
    <w:rsid w:val="00FA5EEA"/>
    <w:rsid w:val="00FB0A3A"/>
    <w:rsid w:val="00FC5B34"/>
    <w:rsid w:val="00FC6106"/>
    <w:rsid w:val="00FD7B3A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09911"/>
  <w15:docId w15:val="{B26195B6-E40A-43F1-82A4-8AC65A4B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zionenonrisolta1">
    <w:name w:val="Menzione non risolta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  <w:style w:type="character" w:styleId="Mentionnonrsolue">
    <w:name w:val="Unresolved Mention"/>
    <w:basedOn w:val="Policepardfaut"/>
    <w:uiPriority w:val="99"/>
    <w:semiHidden/>
    <w:unhideWhenUsed/>
    <w:rsid w:val="00FD7B3A"/>
    <w:rPr>
      <w:color w:val="605E5C"/>
      <w:shd w:val="clear" w:color="auto" w:fill="E1DFDD"/>
    </w:rPr>
  </w:style>
  <w:style w:type="paragraph" w:customStyle="1" w:styleId="Default">
    <w:name w:val="Default"/>
    <w:rsid w:val="00FD7B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50001" TargetMode="External"/><Relationship Id="rId18" Type="http://schemas.openxmlformats.org/officeDocument/2006/relationships/hyperlink" Target="https://www.novoceram.it/societa/ambiente-e-qualita/edpfr/societe/environnement-et-qualite/de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ambiente-e-qualita/iso-14001" TargetMode="External"/><Relationship Id="rId17" Type="http://schemas.openxmlformats.org/officeDocument/2006/relationships/hyperlink" Target="https://www.novoceram.it/societa/ambiente-e-qualita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ambiente-e-qualita/leed-complia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oceram.it/societa/ambiente-e-qualita/iso-9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it/societa/certificazioni/a-pl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instagram.com/novoceram.f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ovoceram.fr/carrelage/collections/thera" TargetMode="External"/><Relationship Id="rId14" Type="http://schemas.openxmlformats.org/officeDocument/2006/relationships/hyperlink" Target="https://www.novoceram.it/societa/ambiente-e-qualita/iso-50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7971-4065-4417-AC70-49ED04CC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825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5357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Marie Chabert</cp:lastModifiedBy>
  <cp:revision>3</cp:revision>
  <cp:lastPrinted>2020-12-09T09:24:00Z</cp:lastPrinted>
  <dcterms:created xsi:type="dcterms:W3CDTF">2024-09-22T11:08:00Z</dcterms:created>
  <dcterms:modified xsi:type="dcterms:W3CDTF">2025-09-19T13:45:00Z</dcterms:modified>
</cp:coreProperties>
</file>